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DF7F" w14:textId="3AA840A2" w:rsidR="003A23A9" w:rsidRPr="0090479B" w:rsidRDefault="003A23A9" w:rsidP="00FB4621">
      <w:pPr>
        <w:spacing w:after="0" w:line="276" w:lineRule="auto"/>
        <w:contextualSpacing/>
        <w:jc w:val="center"/>
        <w:rPr>
          <w:rFonts w:ascii="Calibri Light" w:eastAsia="Times New Roman" w:hAnsi="Calibri Light" w:cs="Calibri Light"/>
          <w:color w:val="000000"/>
          <w:sz w:val="40"/>
          <w:szCs w:val="40"/>
          <w:lang w:eastAsia="en-NL"/>
        </w:rPr>
      </w:pPr>
      <w:r w:rsidRPr="0090479B">
        <w:rPr>
          <w:rFonts w:ascii="Calibri Light" w:eastAsia="Times New Roman" w:hAnsi="Calibri Light" w:cs="Calibri Light"/>
          <w:color w:val="000000"/>
          <w:sz w:val="40"/>
          <w:szCs w:val="40"/>
          <w:lang w:eastAsia="en-NL"/>
        </w:rPr>
        <w:t xml:space="preserve">Module 2, opdracht 4. </w:t>
      </w:r>
      <w:r w:rsidR="00567DB7" w:rsidRPr="0090479B">
        <w:rPr>
          <w:rFonts w:ascii="Calibri Light" w:eastAsia="Times New Roman" w:hAnsi="Calibri Light" w:cs="Calibri Light"/>
          <w:color w:val="000000"/>
          <w:sz w:val="40"/>
          <w:szCs w:val="40"/>
          <w:lang w:eastAsia="en-NL"/>
        </w:rPr>
        <w:t>Technische webshoptekst</w:t>
      </w:r>
    </w:p>
    <w:p w14:paraId="21B4C2E3" w14:textId="32D2C992" w:rsidR="003A23A9" w:rsidRDefault="003A23A9" w:rsidP="00FB4621">
      <w:pPr>
        <w:spacing w:after="0" w:line="276" w:lineRule="auto"/>
        <w:contextualSpacing/>
        <w:rPr>
          <w:rFonts w:asciiTheme="majorHAnsi" w:eastAsia="Times New Roman" w:hAnsiTheme="majorHAnsi" w:cstheme="majorHAnsi"/>
          <w:color w:val="000000"/>
          <w:sz w:val="28"/>
          <w:szCs w:val="28"/>
          <w:lang w:val="en-NL" w:eastAsia="en-NL"/>
        </w:rPr>
      </w:pPr>
    </w:p>
    <w:p w14:paraId="5B8BBC81" w14:textId="2355AF36" w:rsidR="00DC6D11" w:rsidRDefault="00BF51BB" w:rsidP="00FB4621">
      <w:pPr>
        <w:spacing w:after="0" w:line="276" w:lineRule="auto"/>
        <w:contextualSpacing/>
        <w:rPr>
          <w:rFonts w:asciiTheme="majorHAnsi" w:hAnsiTheme="majorHAnsi" w:cstheme="majorHAnsi"/>
          <w:b/>
          <w:bCs/>
          <w:sz w:val="28"/>
          <w:szCs w:val="28"/>
        </w:rPr>
      </w:pPr>
      <w:r>
        <w:rPr>
          <w:rFonts w:asciiTheme="majorHAnsi" w:hAnsiTheme="majorHAnsi" w:cstheme="majorHAnsi"/>
          <w:b/>
          <w:bCs/>
          <w:sz w:val="28"/>
          <w:szCs w:val="28"/>
        </w:rPr>
        <w:t>Aanvullende instructie</w:t>
      </w:r>
      <w:r w:rsidR="00DC6D11">
        <w:rPr>
          <w:rFonts w:asciiTheme="majorHAnsi" w:hAnsiTheme="majorHAnsi" w:cstheme="majorHAnsi"/>
          <w:b/>
          <w:bCs/>
          <w:sz w:val="28"/>
          <w:szCs w:val="28"/>
        </w:rPr>
        <w:t>:</w:t>
      </w:r>
    </w:p>
    <w:p w14:paraId="0D14894E" w14:textId="67E42EBB" w:rsidR="00BF51BB" w:rsidRDefault="00BF51BB" w:rsidP="00FB4621">
      <w:pPr>
        <w:spacing w:after="0" w:line="276" w:lineRule="auto"/>
        <w:contextualSpacing/>
        <w:rPr>
          <w:rFonts w:asciiTheme="majorHAnsi" w:hAnsiTheme="majorHAnsi" w:cstheme="majorHAnsi"/>
          <w:b/>
          <w:bCs/>
          <w:sz w:val="28"/>
          <w:szCs w:val="28"/>
        </w:rPr>
      </w:pPr>
    </w:p>
    <w:p w14:paraId="37E19B05" w14:textId="78A89F4C" w:rsidR="00BF51BB" w:rsidRPr="00BF51BB" w:rsidRDefault="00BF51BB" w:rsidP="00FB4621">
      <w:pPr>
        <w:spacing w:after="0" w:line="276" w:lineRule="auto"/>
        <w:contextualSpacing/>
        <w:rPr>
          <w:rFonts w:asciiTheme="majorHAnsi" w:eastAsia="Times New Roman" w:hAnsiTheme="majorHAnsi" w:cstheme="majorHAnsi"/>
          <w:color w:val="000000"/>
          <w:sz w:val="28"/>
          <w:szCs w:val="28"/>
          <w:lang w:eastAsia="en-NL"/>
        </w:rPr>
      </w:pPr>
      <w:r w:rsidRPr="00BF51BB">
        <w:rPr>
          <w:rFonts w:asciiTheme="majorHAnsi" w:eastAsia="Times New Roman" w:hAnsiTheme="majorHAnsi" w:cstheme="majorHAnsi"/>
          <w:color w:val="000000"/>
          <w:sz w:val="28"/>
          <w:szCs w:val="28"/>
          <w:lang w:eastAsia="en-NL"/>
        </w:rPr>
        <w:t>Vertaal onderstaande t</w:t>
      </w:r>
      <w:r>
        <w:rPr>
          <w:rFonts w:asciiTheme="majorHAnsi" w:eastAsia="Times New Roman" w:hAnsiTheme="majorHAnsi" w:cstheme="majorHAnsi"/>
          <w:color w:val="000000"/>
          <w:sz w:val="28"/>
          <w:szCs w:val="28"/>
          <w:lang w:eastAsia="en-NL"/>
        </w:rPr>
        <w:t xml:space="preserve">ekst </w:t>
      </w:r>
      <w:r w:rsidRPr="00185E92">
        <w:rPr>
          <w:rFonts w:asciiTheme="majorHAnsi" w:eastAsia="Times New Roman" w:hAnsiTheme="majorHAnsi" w:cstheme="majorHAnsi"/>
          <w:i/>
          <w:iCs/>
          <w:color w:val="000000"/>
          <w:sz w:val="28"/>
          <w:szCs w:val="28"/>
          <w:lang w:eastAsia="en-NL"/>
        </w:rPr>
        <w:t>of</w:t>
      </w:r>
      <w:r>
        <w:rPr>
          <w:rFonts w:asciiTheme="majorHAnsi" w:eastAsia="Times New Roman" w:hAnsiTheme="majorHAnsi" w:cstheme="majorHAnsi"/>
          <w:color w:val="000000"/>
          <w:sz w:val="28"/>
          <w:szCs w:val="28"/>
          <w:lang w:eastAsia="en-NL"/>
        </w:rPr>
        <w:t xml:space="preserve"> vertaal een tekst van </w:t>
      </w:r>
      <w:r w:rsidR="00697B5F">
        <w:rPr>
          <w:rFonts w:asciiTheme="majorHAnsi" w:eastAsia="Times New Roman" w:hAnsiTheme="majorHAnsi" w:cstheme="majorHAnsi"/>
          <w:color w:val="000000"/>
          <w:sz w:val="28"/>
          <w:szCs w:val="28"/>
          <w:lang w:eastAsia="en-NL"/>
        </w:rPr>
        <w:t>een product</w:t>
      </w:r>
      <w:r w:rsidR="009D7DFF">
        <w:rPr>
          <w:rFonts w:asciiTheme="majorHAnsi" w:eastAsia="Times New Roman" w:hAnsiTheme="majorHAnsi" w:cstheme="majorHAnsi"/>
          <w:color w:val="000000"/>
          <w:sz w:val="28"/>
          <w:szCs w:val="28"/>
          <w:lang w:eastAsia="en-NL"/>
        </w:rPr>
        <w:t xml:space="preserve"> (maximaal 350 woorden)</w:t>
      </w:r>
      <w:r w:rsidR="00697B5F">
        <w:rPr>
          <w:rFonts w:asciiTheme="majorHAnsi" w:eastAsia="Times New Roman" w:hAnsiTheme="majorHAnsi" w:cstheme="majorHAnsi"/>
          <w:color w:val="000000"/>
          <w:sz w:val="28"/>
          <w:szCs w:val="28"/>
          <w:lang w:eastAsia="en-NL"/>
        </w:rPr>
        <w:t xml:space="preserve"> uit een andere hoogwaardige webshop</w:t>
      </w:r>
      <w:r w:rsidR="00F66DC5">
        <w:rPr>
          <w:rFonts w:asciiTheme="majorHAnsi" w:eastAsia="Times New Roman" w:hAnsiTheme="majorHAnsi" w:cstheme="majorHAnsi"/>
          <w:color w:val="000000"/>
          <w:sz w:val="28"/>
          <w:szCs w:val="28"/>
          <w:lang w:eastAsia="en-NL"/>
        </w:rPr>
        <w:t xml:space="preserve"> (geen budgetshop)</w:t>
      </w:r>
      <w:r>
        <w:rPr>
          <w:rFonts w:asciiTheme="majorHAnsi" w:eastAsia="Times New Roman" w:hAnsiTheme="majorHAnsi" w:cstheme="majorHAnsi"/>
          <w:color w:val="000000"/>
          <w:sz w:val="28"/>
          <w:szCs w:val="28"/>
          <w:lang w:eastAsia="en-NL"/>
        </w:rPr>
        <w:t xml:space="preserve"> die beter aansluit bij je achtergrond. Kijk bijvoorbeeld eens naar de </w:t>
      </w:r>
      <w:hyperlink r:id="rId7" w:history="1">
        <w:r>
          <w:rPr>
            <w:rStyle w:val="Hyperlink"/>
            <w:rFonts w:asciiTheme="majorHAnsi" w:eastAsia="Times New Roman" w:hAnsiTheme="majorHAnsi" w:cstheme="majorHAnsi"/>
            <w:sz w:val="28"/>
            <w:szCs w:val="28"/>
            <w:lang w:eastAsia="en-NL"/>
          </w:rPr>
          <w:t xml:space="preserve">apparatuur van </w:t>
        </w:r>
        <w:proofErr w:type="spellStart"/>
        <w:r>
          <w:rPr>
            <w:rStyle w:val="Hyperlink"/>
            <w:rFonts w:asciiTheme="majorHAnsi" w:eastAsia="Times New Roman" w:hAnsiTheme="majorHAnsi" w:cstheme="majorHAnsi"/>
            <w:sz w:val="28"/>
            <w:szCs w:val="28"/>
            <w:lang w:eastAsia="en-NL"/>
          </w:rPr>
          <w:t>T</w:t>
        </w:r>
        <w:r w:rsidRPr="00BF51BB">
          <w:rPr>
            <w:rStyle w:val="Hyperlink"/>
            <w:rFonts w:asciiTheme="majorHAnsi" w:eastAsia="Times New Roman" w:hAnsiTheme="majorHAnsi" w:cstheme="majorHAnsi"/>
            <w:sz w:val="28"/>
            <w:szCs w:val="28"/>
            <w:lang w:eastAsia="en-NL"/>
          </w:rPr>
          <w:t>hermoFisher</w:t>
        </w:r>
        <w:proofErr w:type="spellEnd"/>
        <w:r w:rsidRPr="00BF51BB">
          <w:rPr>
            <w:rStyle w:val="Hyperlink"/>
            <w:rFonts w:asciiTheme="majorHAnsi" w:eastAsia="Times New Roman" w:hAnsiTheme="majorHAnsi" w:cstheme="majorHAnsi"/>
            <w:sz w:val="28"/>
            <w:szCs w:val="28"/>
            <w:lang w:eastAsia="en-NL"/>
          </w:rPr>
          <w:t xml:space="preserve"> </w:t>
        </w:r>
        <w:proofErr w:type="spellStart"/>
        <w:r w:rsidRPr="00BF51BB">
          <w:rPr>
            <w:rStyle w:val="Hyperlink"/>
            <w:rFonts w:asciiTheme="majorHAnsi" w:eastAsia="Times New Roman" w:hAnsiTheme="majorHAnsi" w:cstheme="majorHAnsi"/>
            <w:sz w:val="28"/>
            <w:szCs w:val="28"/>
            <w:lang w:eastAsia="en-NL"/>
          </w:rPr>
          <w:t>Scientific</w:t>
        </w:r>
        <w:proofErr w:type="spellEnd"/>
      </w:hyperlink>
      <w:r>
        <w:rPr>
          <w:rFonts w:asciiTheme="majorHAnsi" w:eastAsia="Times New Roman" w:hAnsiTheme="majorHAnsi" w:cstheme="majorHAnsi"/>
          <w:color w:val="000000"/>
          <w:sz w:val="28"/>
          <w:szCs w:val="28"/>
          <w:lang w:eastAsia="en-NL"/>
        </w:rPr>
        <w:t xml:space="preserve"> of naar</w:t>
      </w:r>
      <w:r w:rsidR="00185E92">
        <w:rPr>
          <w:rFonts w:asciiTheme="majorHAnsi" w:eastAsia="Times New Roman" w:hAnsiTheme="majorHAnsi" w:cstheme="majorHAnsi"/>
          <w:color w:val="000000"/>
          <w:sz w:val="28"/>
          <w:szCs w:val="28"/>
          <w:lang w:eastAsia="en-NL"/>
        </w:rPr>
        <w:t xml:space="preserve"> het </w:t>
      </w:r>
      <w:hyperlink r:id="rId8" w:history="1">
        <w:r w:rsidR="00185E92" w:rsidRPr="00185E92">
          <w:rPr>
            <w:rStyle w:val="Hyperlink"/>
            <w:rFonts w:asciiTheme="majorHAnsi" w:eastAsia="Times New Roman" w:hAnsiTheme="majorHAnsi" w:cstheme="majorHAnsi"/>
            <w:sz w:val="28"/>
            <w:szCs w:val="28"/>
            <w:lang w:eastAsia="en-NL"/>
          </w:rPr>
          <w:t xml:space="preserve">meubilair van </w:t>
        </w:r>
        <w:proofErr w:type="spellStart"/>
        <w:r w:rsidR="00185E92" w:rsidRPr="00185E92">
          <w:rPr>
            <w:rStyle w:val="Hyperlink"/>
            <w:rFonts w:asciiTheme="majorHAnsi" w:eastAsia="Times New Roman" w:hAnsiTheme="majorHAnsi" w:cstheme="majorHAnsi"/>
            <w:sz w:val="28"/>
            <w:szCs w:val="28"/>
            <w:lang w:eastAsia="en-NL"/>
          </w:rPr>
          <w:t>LuxDeco</w:t>
        </w:r>
        <w:proofErr w:type="spellEnd"/>
      </w:hyperlink>
      <w:r w:rsidR="00185E92">
        <w:rPr>
          <w:rFonts w:asciiTheme="majorHAnsi" w:eastAsia="Times New Roman" w:hAnsiTheme="majorHAnsi" w:cstheme="majorHAnsi"/>
          <w:color w:val="000000"/>
          <w:sz w:val="28"/>
          <w:szCs w:val="28"/>
          <w:lang w:eastAsia="en-NL"/>
        </w:rPr>
        <w:t>.</w:t>
      </w:r>
      <w:r w:rsidR="00066DAD">
        <w:rPr>
          <w:rFonts w:asciiTheme="majorHAnsi" w:eastAsia="Times New Roman" w:hAnsiTheme="majorHAnsi" w:cstheme="majorHAnsi"/>
          <w:color w:val="000000"/>
          <w:sz w:val="28"/>
          <w:szCs w:val="28"/>
          <w:lang w:eastAsia="en-NL"/>
        </w:rPr>
        <w:t xml:space="preserve"> Voeg in dat geval de link naar het gekozen product bij je vertaling.</w:t>
      </w:r>
    </w:p>
    <w:p w14:paraId="0EB5B475" w14:textId="49860C13" w:rsidR="00DC6D11" w:rsidRDefault="00DC6D11" w:rsidP="00FB4621">
      <w:pPr>
        <w:spacing w:after="0" w:line="276" w:lineRule="auto"/>
        <w:contextualSpacing/>
        <w:rPr>
          <w:rFonts w:asciiTheme="majorHAnsi" w:eastAsia="Times New Roman" w:hAnsiTheme="majorHAnsi" w:cstheme="majorHAnsi"/>
          <w:color w:val="000000"/>
          <w:sz w:val="28"/>
          <w:szCs w:val="28"/>
          <w:lang w:val="en-NL" w:eastAsia="en-NL"/>
        </w:rPr>
      </w:pPr>
    </w:p>
    <w:p w14:paraId="368A04C7" w14:textId="77777777" w:rsidR="00482B51" w:rsidRPr="00FB4621" w:rsidRDefault="00482B51" w:rsidP="00FB4621">
      <w:pPr>
        <w:spacing w:after="0" w:line="276" w:lineRule="auto"/>
        <w:contextualSpacing/>
        <w:rPr>
          <w:rFonts w:asciiTheme="majorHAnsi" w:eastAsia="Times New Roman" w:hAnsiTheme="majorHAnsi" w:cstheme="majorHAnsi"/>
          <w:color w:val="000000"/>
          <w:sz w:val="28"/>
          <w:szCs w:val="28"/>
          <w:lang w:val="en-NL" w:eastAsia="en-NL"/>
        </w:rPr>
      </w:pPr>
    </w:p>
    <w:p w14:paraId="448EC478" w14:textId="77777777" w:rsidR="00FB4621" w:rsidRPr="00FB4621" w:rsidRDefault="00FB4621" w:rsidP="00FB4621">
      <w:pPr>
        <w:spacing w:after="0" w:line="276" w:lineRule="auto"/>
        <w:contextualSpacing/>
        <w:rPr>
          <w:rFonts w:asciiTheme="majorHAnsi" w:hAnsiTheme="majorHAnsi" w:cstheme="majorHAnsi"/>
          <w:b/>
          <w:bCs/>
          <w:sz w:val="28"/>
          <w:szCs w:val="28"/>
          <w:lang w:val="en-GB"/>
        </w:rPr>
      </w:pPr>
      <w:r w:rsidRPr="00FB4621">
        <w:rPr>
          <w:rFonts w:asciiTheme="majorHAnsi" w:hAnsiTheme="majorHAnsi" w:cstheme="majorHAnsi"/>
          <w:b/>
          <w:bCs/>
          <w:sz w:val="28"/>
          <w:szCs w:val="28"/>
          <w:lang w:val="en-GB"/>
        </w:rPr>
        <w:t>The absolute star in “ratchet free” orchestral timpani</w:t>
      </w:r>
    </w:p>
    <w:p w14:paraId="341412A6" w14:textId="77777777" w:rsidR="00FB4621" w:rsidRPr="00FB4621" w:rsidRDefault="00FB4621" w:rsidP="00FB4621">
      <w:pPr>
        <w:spacing w:after="0" w:line="276" w:lineRule="auto"/>
        <w:contextualSpacing/>
        <w:rPr>
          <w:rFonts w:asciiTheme="majorHAnsi" w:hAnsiTheme="majorHAnsi" w:cstheme="majorHAnsi"/>
          <w:sz w:val="28"/>
          <w:szCs w:val="28"/>
          <w:lang w:val="en-GB"/>
        </w:rPr>
      </w:pPr>
    </w:p>
    <w:p w14:paraId="011C4918" w14:textId="5C96CD75" w:rsidR="00FB4621" w:rsidRDefault="00FB4621" w:rsidP="00FB4621">
      <w:pPr>
        <w:spacing w:after="0" w:line="276" w:lineRule="auto"/>
        <w:contextualSpacing/>
        <w:rPr>
          <w:rFonts w:asciiTheme="majorHAnsi" w:hAnsiTheme="majorHAnsi" w:cstheme="majorHAnsi"/>
          <w:sz w:val="28"/>
          <w:szCs w:val="28"/>
          <w:lang w:val="en-GB"/>
        </w:rPr>
      </w:pPr>
      <w:r w:rsidRPr="00FB4621">
        <w:rPr>
          <w:rFonts w:asciiTheme="majorHAnsi" w:hAnsiTheme="majorHAnsi" w:cstheme="majorHAnsi"/>
          <w:sz w:val="28"/>
          <w:szCs w:val="28"/>
          <w:lang w:val="en-GB"/>
        </w:rPr>
        <w:t xml:space="preserve">The Philharmonic Light Timpani feature the original and industry standard ratchet-free pedal system. The Philharmonic Light’s Ratchet-Free Pedal System has no intermeshing teeth, allowing the player to pinpoint any pitch without restriction. Numerous advancements established the Philharmonic Light as the benchmark for innovation in timpani manufacture—the original, adjustable split rocker arm, the adjustable length transfer bar, foot and tilting stabilizers, adjustable foot pedal resistance, and a tuning gauge </w:t>
      </w:r>
      <w:proofErr w:type="spellStart"/>
      <w:r w:rsidRPr="00FB4621">
        <w:rPr>
          <w:rFonts w:asciiTheme="majorHAnsi" w:hAnsiTheme="majorHAnsi" w:cstheme="majorHAnsi"/>
          <w:sz w:val="28"/>
          <w:szCs w:val="28"/>
          <w:lang w:val="en-GB"/>
        </w:rPr>
        <w:t>positionable</w:t>
      </w:r>
      <w:proofErr w:type="spellEnd"/>
      <w:r w:rsidRPr="00FB4621">
        <w:rPr>
          <w:rFonts w:asciiTheme="majorHAnsi" w:hAnsiTheme="majorHAnsi" w:cstheme="majorHAnsi"/>
          <w:sz w:val="28"/>
          <w:szCs w:val="28"/>
          <w:lang w:val="en-GB"/>
        </w:rPr>
        <w:t xml:space="preserve"> to the player’s exact viewing angle. Deep drawn bowls are suspended on long bronze struts for a full, open, and ringing sound. The frame construction and features create timpani that will not distort or go sharp as the player increases volume.  From whisper soft to the loudest end of the dynamic spectrum, Philharmonic Light Timpani project beautifully and are virtually impossible to overplay.</w:t>
      </w:r>
    </w:p>
    <w:p w14:paraId="0F28F1D8" w14:textId="77777777" w:rsidR="00FB4621" w:rsidRPr="00FB4621" w:rsidRDefault="00FB4621" w:rsidP="00FB4621">
      <w:pPr>
        <w:spacing w:after="0" w:line="276" w:lineRule="auto"/>
        <w:contextualSpacing/>
        <w:rPr>
          <w:rFonts w:asciiTheme="majorHAnsi" w:hAnsiTheme="majorHAnsi" w:cstheme="majorHAnsi"/>
          <w:sz w:val="28"/>
          <w:szCs w:val="28"/>
          <w:lang w:val="en-GB"/>
        </w:rPr>
      </w:pPr>
    </w:p>
    <w:p w14:paraId="1CBAE97C" w14:textId="2876CD43"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The Philharmonic Light timpani are available in the following (kettle) sizes: 20" - 21" - 23" - 25" - 26" - 28" - 29" - 30" - 32"</w:t>
      </w:r>
    </w:p>
    <w:p w14:paraId="7DA942B6" w14:textId="70AD42A7"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The Philharmonic Light Timpani are available with a Dresden or Berlin Pedal Mechanism, both ratchet-free and clutch operated.</w:t>
      </w:r>
    </w:p>
    <w:p w14:paraId="4F7B6A05" w14:textId="7B0DF5AC"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1.1 mm cambered hammered copper kettles</w:t>
      </w:r>
    </w:p>
    <w:p w14:paraId="101CE063" w14:textId="39B13EB2"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Adjustable Transfer Bar for Calf and Plastic Heads</w:t>
      </w:r>
    </w:p>
    <w:p w14:paraId="79515AE0" w14:textId="5FBF15B8"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proofErr w:type="spellStart"/>
      <w:r w:rsidRPr="00FB4621">
        <w:rPr>
          <w:rFonts w:asciiTheme="majorHAnsi" w:hAnsiTheme="majorHAnsi" w:cstheme="majorHAnsi"/>
          <w:sz w:val="28"/>
          <w:szCs w:val="28"/>
          <w:lang w:val="en-GB"/>
        </w:rPr>
        <w:t>Aluminum</w:t>
      </w:r>
      <w:proofErr w:type="spellEnd"/>
      <w:r w:rsidRPr="00FB4621">
        <w:rPr>
          <w:rFonts w:asciiTheme="majorHAnsi" w:hAnsiTheme="majorHAnsi" w:cstheme="majorHAnsi"/>
          <w:sz w:val="28"/>
          <w:szCs w:val="28"/>
          <w:lang w:val="en-GB"/>
        </w:rPr>
        <w:t xml:space="preserve"> base, bronze supporting struts steel support ring</w:t>
      </w:r>
    </w:p>
    <w:p w14:paraId="6E72224F" w14:textId="40B112A1"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lastRenderedPageBreak/>
        <w:t xml:space="preserve">Available with Super </w:t>
      </w:r>
      <w:proofErr w:type="spellStart"/>
      <w:r w:rsidRPr="00FB4621">
        <w:rPr>
          <w:rFonts w:asciiTheme="majorHAnsi" w:hAnsiTheme="majorHAnsi" w:cstheme="majorHAnsi"/>
          <w:sz w:val="28"/>
          <w:szCs w:val="28"/>
          <w:lang w:val="en-GB"/>
        </w:rPr>
        <w:t>Kalfo</w:t>
      </w:r>
      <w:proofErr w:type="spellEnd"/>
      <w:r w:rsidRPr="00FB4621">
        <w:rPr>
          <w:rFonts w:asciiTheme="majorHAnsi" w:hAnsiTheme="majorHAnsi" w:cstheme="majorHAnsi"/>
          <w:sz w:val="28"/>
          <w:szCs w:val="28"/>
          <w:lang w:val="en-GB"/>
        </w:rPr>
        <w:t xml:space="preserve"> Heads or Remo Renaissance Heads (Hazy with </w:t>
      </w:r>
      <w:proofErr w:type="spellStart"/>
      <w:r w:rsidRPr="00FB4621">
        <w:rPr>
          <w:rFonts w:asciiTheme="majorHAnsi" w:hAnsiTheme="majorHAnsi" w:cstheme="majorHAnsi"/>
          <w:sz w:val="28"/>
          <w:szCs w:val="28"/>
          <w:lang w:val="en-GB"/>
        </w:rPr>
        <w:t>Aluminum</w:t>
      </w:r>
      <w:proofErr w:type="spellEnd"/>
      <w:r w:rsidRPr="00FB4621">
        <w:rPr>
          <w:rFonts w:asciiTheme="majorHAnsi" w:hAnsiTheme="majorHAnsi" w:cstheme="majorHAnsi"/>
          <w:sz w:val="28"/>
          <w:szCs w:val="28"/>
          <w:lang w:val="en-GB"/>
        </w:rPr>
        <w:t xml:space="preserve"> Insert Rings)</w:t>
      </w:r>
    </w:p>
    <w:p w14:paraId="5C4AFA65" w14:textId="64247BB5"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Ratchet-Free Clutch Pedal System available either in Berlin or Dresden Pedal Systems for silent pinpointing of any note.</w:t>
      </w:r>
    </w:p>
    <w:p w14:paraId="794718C3" w14:textId="66AACB0F"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Floating Spider assists in distributing head tension and decreasing pressure on the frame.</w:t>
      </w:r>
    </w:p>
    <w:p w14:paraId="7317ABE7" w14:textId="413CE567"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Pedal Tension Spring for Fine Tuning Pedal Resistance</w:t>
      </w:r>
    </w:p>
    <w:p w14:paraId="01ABFE3B" w14:textId="583969EC"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Unique Split Rocker Arm decreases pressure on the frame.</w:t>
      </w:r>
    </w:p>
    <w:p w14:paraId="512136B9" w14:textId="2DA163D8"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Fine Tuner has incredibly smooth action without increased resistance in the upper register of each drum.</w:t>
      </w:r>
    </w:p>
    <w:p w14:paraId="2BD4DD45" w14:textId="393B73DB"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Foot Operated Stabilizer has one touch positioning for stability and playing angle. A quick release lowers the timpani back to its wheels.</w:t>
      </w:r>
    </w:p>
    <w:p w14:paraId="388A41B1" w14:textId="23801888"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The Philharmonic Light tuning gauge is adjustable to the player’s exact viewing angle</w:t>
      </w:r>
    </w:p>
    <w:p w14:paraId="3A4CDAE6" w14:textId="0439E2B1"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 xml:space="preserve">As an add-on to the standard Philharmonic Light Timpani, the Marinus </w:t>
      </w:r>
      <w:proofErr w:type="spellStart"/>
      <w:r w:rsidRPr="00FB4621">
        <w:rPr>
          <w:rFonts w:asciiTheme="majorHAnsi" w:hAnsiTheme="majorHAnsi" w:cstheme="majorHAnsi"/>
          <w:sz w:val="28"/>
          <w:szCs w:val="28"/>
          <w:lang w:val="en-GB"/>
        </w:rPr>
        <w:t>Komst</w:t>
      </w:r>
      <w:proofErr w:type="spellEnd"/>
      <w:r w:rsidRPr="00FB4621">
        <w:rPr>
          <w:rFonts w:asciiTheme="majorHAnsi" w:hAnsiTheme="majorHAnsi" w:cstheme="majorHAnsi"/>
          <w:sz w:val="28"/>
          <w:szCs w:val="28"/>
          <w:lang w:val="en-GB"/>
        </w:rPr>
        <w:t xml:space="preserve"> Philharmonic Light Model is available with polished bronze struts and calf heads with clamp system.</w:t>
      </w:r>
    </w:p>
    <w:p w14:paraId="22104AC5" w14:textId="3BBA4624" w:rsidR="00FB4621"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A Tuning Key is standardly included, coming in a small bag.</w:t>
      </w:r>
    </w:p>
    <w:p w14:paraId="3A8C3304" w14:textId="3ED8E685" w:rsidR="003A23A9" w:rsidRPr="00FB4621" w:rsidRDefault="00FB4621" w:rsidP="00FB4621">
      <w:pPr>
        <w:pStyle w:val="ListParagraph"/>
        <w:numPr>
          <w:ilvl w:val="0"/>
          <w:numId w:val="1"/>
        </w:numPr>
        <w:spacing w:after="0" w:line="276" w:lineRule="auto"/>
        <w:rPr>
          <w:rFonts w:asciiTheme="majorHAnsi" w:hAnsiTheme="majorHAnsi" w:cstheme="majorHAnsi"/>
          <w:sz w:val="28"/>
          <w:szCs w:val="28"/>
          <w:lang w:val="en-GB"/>
        </w:rPr>
      </w:pPr>
      <w:r w:rsidRPr="00FB4621">
        <w:rPr>
          <w:rFonts w:asciiTheme="majorHAnsi" w:hAnsiTheme="majorHAnsi" w:cstheme="majorHAnsi"/>
          <w:sz w:val="28"/>
          <w:szCs w:val="28"/>
          <w:lang w:val="en-GB"/>
        </w:rPr>
        <w:t>All Timpani come with a black felt mute.</w:t>
      </w:r>
    </w:p>
    <w:p w14:paraId="2F8DE9F6" w14:textId="130D314D" w:rsidR="003A23A9" w:rsidRPr="00FB4621" w:rsidRDefault="003A23A9" w:rsidP="00FB4621">
      <w:pPr>
        <w:spacing w:before="100" w:beforeAutospacing="1" w:after="100" w:afterAutospacing="1" w:line="276" w:lineRule="auto"/>
        <w:contextualSpacing/>
        <w:rPr>
          <w:rFonts w:ascii="Calibri Light" w:hAnsi="Calibri Light" w:cs="Calibri Light"/>
          <w:sz w:val="28"/>
          <w:szCs w:val="28"/>
        </w:rPr>
      </w:pPr>
      <w:r w:rsidRPr="00FB4621">
        <w:rPr>
          <w:rFonts w:ascii="Calibri Light" w:eastAsia="Times New Roman" w:hAnsi="Calibri Light" w:cs="Calibri Light"/>
          <w:i/>
          <w:iCs/>
          <w:sz w:val="28"/>
          <w:szCs w:val="28"/>
          <w:lang w:eastAsia="en-NL"/>
        </w:rPr>
        <w:t xml:space="preserve">Bron: </w:t>
      </w:r>
      <w:hyperlink r:id="rId9" w:history="1">
        <w:r w:rsidR="00FB4621" w:rsidRPr="00FB4621">
          <w:rPr>
            <w:rStyle w:val="Hyperlink"/>
            <w:rFonts w:ascii="Calibri Light" w:hAnsi="Calibri Light" w:cs="Calibri Light"/>
            <w:sz w:val="28"/>
            <w:szCs w:val="28"/>
          </w:rPr>
          <w:t>https://www.adams-music.com/en/adams/percussion/adams_philharmonic_light_timpani</w:t>
        </w:r>
      </w:hyperlink>
    </w:p>
    <w:p w14:paraId="3F7FAA9B" w14:textId="77777777" w:rsidR="00FB4621" w:rsidRPr="0044153B" w:rsidRDefault="00FB4621" w:rsidP="00FB4621">
      <w:pPr>
        <w:spacing w:before="100" w:beforeAutospacing="1" w:after="100" w:afterAutospacing="1" w:line="276" w:lineRule="auto"/>
        <w:contextualSpacing/>
        <w:rPr>
          <w:rFonts w:ascii="Calibri Light" w:hAnsi="Calibri Light" w:cs="Calibri Light"/>
          <w:i/>
          <w:iCs/>
          <w:sz w:val="28"/>
          <w:szCs w:val="28"/>
        </w:rPr>
      </w:pPr>
    </w:p>
    <w:p w14:paraId="72553D1C" w14:textId="77777777" w:rsidR="003A23A9" w:rsidRPr="0044153B" w:rsidRDefault="003A23A9" w:rsidP="00FB4621">
      <w:pPr>
        <w:spacing w:before="100" w:beforeAutospacing="1" w:after="100" w:afterAutospacing="1" w:line="276" w:lineRule="auto"/>
        <w:contextualSpacing/>
        <w:rPr>
          <w:rFonts w:ascii="Calibri Light" w:eastAsia="Times New Roman" w:hAnsi="Calibri Light" w:cs="Calibri Light"/>
          <w:i/>
          <w:iCs/>
          <w:sz w:val="28"/>
          <w:szCs w:val="28"/>
          <w:lang w:eastAsia="en-NL"/>
        </w:rPr>
      </w:pPr>
    </w:p>
    <w:p w14:paraId="3F95BFD8" w14:textId="77777777" w:rsidR="00345F02" w:rsidRDefault="00345F02" w:rsidP="00FB4621">
      <w:pPr>
        <w:spacing w:line="276" w:lineRule="auto"/>
        <w:contextualSpacing/>
      </w:pPr>
    </w:p>
    <w:sectPr w:rsidR="00345F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C41B" w14:textId="77777777" w:rsidR="00902290" w:rsidRDefault="00902290">
      <w:pPr>
        <w:spacing w:after="0" w:line="240" w:lineRule="auto"/>
      </w:pPr>
      <w:r>
        <w:separator/>
      </w:r>
    </w:p>
  </w:endnote>
  <w:endnote w:type="continuationSeparator" w:id="0">
    <w:p w14:paraId="2097FAE1" w14:textId="77777777" w:rsidR="00902290" w:rsidRDefault="0090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4498" w14:textId="77777777" w:rsidR="00781D3D" w:rsidRPr="00781D3D" w:rsidRDefault="00FB4621" w:rsidP="00781D3D">
    <w:pPr>
      <w:pStyle w:val="Footer"/>
      <w:jc w:val="center"/>
      <w:rPr>
        <w:rFonts w:ascii="Calibri Light" w:hAnsi="Calibri Light" w:cs="Calibri Light"/>
        <w:sz w:val="24"/>
        <w:szCs w:val="24"/>
      </w:rPr>
    </w:pPr>
    <w:r w:rsidRPr="00781D3D">
      <w:rPr>
        <w:rFonts w:ascii="Calibri Light" w:hAnsi="Calibri Light" w:cs="Calibri Light"/>
        <w:sz w:val="24"/>
        <w:szCs w:val="24"/>
      </w:rPr>
      <w:t>Korte Vertaalopleiding Engels</w:t>
    </w:r>
    <w:r>
      <w:rPr>
        <w:rFonts w:ascii="Calibri Light" w:hAnsi="Calibri Light" w:cs="Calibri Light"/>
        <w:sz w:val="24"/>
        <w:szCs w:val="24"/>
      </w:rPr>
      <w:t xml:space="preserve"> </w:t>
    </w:r>
    <w:r w:rsidRPr="00781D3D">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r w:rsidRPr="00781D3D">
      <w:rPr>
        <w:rFonts w:ascii="Calibri Light" w:hAnsi="Calibri Light" w:cs="Calibri Light"/>
        <w:sz w:val="24"/>
        <w:szCs w:val="24"/>
        <w:shd w:val="clear" w:color="auto" w:fill="FFFFFF"/>
      </w:rPr>
      <w:t>Nederlands</w:t>
    </w:r>
    <w:r>
      <w:rPr>
        <w:rFonts w:ascii="Calibri Light" w:hAnsi="Calibri Light" w:cs="Calibri Light"/>
        <w:sz w:val="24"/>
        <w:szCs w:val="24"/>
        <w:shd w:val="clear" w:color="auto" w:fill="FFFFFF"/>
      </w:rPr>
      <w:t xml:space="preserve"> | Green </w:t>
    </w:r>
    <w:proofErr w:type="spellStart"/>
    <w:r>
      <w:rPr>
        <w:rFonts w:ascii="Calibri Light" w:hAnsi="Calibri Light" w:cs="Calibri Light"/>
        <w:sz w:val="24"/>
        <w:szCs w:val="24"/>
        <w:shd w:val="clear" w:color="auto" w:fill="FFFFFF"/>
      </w:rPr>
      <w:t>Writing</w:t>
    </w:r>
    <w:proofErr w:type="spellEnd"/>
    <w:r>
      <w:rPr>
        <w:rFonts w:ascii="Calibri Light" w:hAnsi="Calibri Light" w:cs="Calibri Light"/>
        <w:sz w:val="24"/>
        <w:szCs w:val="24"/>
        <w:shd w:val="clear" w:color="auto" w:fill="FFFFFF"/>
      </w:rPr>
      <w:t>®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C951" w14:textId="77777777" w:rsidR="00902290" w:rsidRDefault="00902290">
      <w:pPr>
        <w:spacing w:after="0" w:line="240" w:lineRule="auto"/>
      </w:pPr>
      <w:r>
        <w:separator/>
      </w:r>
    </w:p>
  </w:footnote>
  <w:footnote w:type="continuationSeparator" w:id="0">
    <w:p w14:paraId="20AF93F9" w14:textId="77777777" w:rsidR="00902290" w:rsidRDefault="00902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04963"/>
    <w:multiLevelType w:val="hybridMultilevel"/>
    <w:tmpl w:val="36105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287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0F"/>
    <w:rsid w:val="00066DAD"/>
    <w:rsid w:val="000F0E0B"/>
    <w:rsid w:val="00185E92"/>
    <w:rsid w:val="00345F02"/>
    <w:rsid w:val="003A23A9"/>
    <w:rsid w:val="00482B51"/>
    <w:rsid w:val="00567DB7"/>
    <w:rsid w:val="00697B5F"/>
    <w:rsid w:val="007418B3"/>
    <w:rsid w:val="008B6570"/>
    <w:rsid w:val="00902290"/>
    <w:rsid w:val="0090479B"/>
    <w:rsid w:val="009D7DFF"/>
    <w:rsid w:val="00BF51BB"/>
    <w:rsid w:val="00DC6D11"/>
    <w:rsid w:val="00EA5CD4"/>
    <w:rsid w:val="00EC2A0F"/>
    <w:rsid w:val="00F66DC5"/>
    <w:rsid w:val="00FB462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72A5"/>
  <w15:chartTrackingRefBased/>
  <w15:docId w15:val="{F1D95E5F-5930-468A-8030-77CCEB28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A9"/>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3A9"/>
    <w:rPr>
      <w:color w:val="0000FF"/>
      <w:u w:val="single"/>
    </w:rPr>
  </w:style>
  <w:style w:type="paragraph" w:styleId="Footer">
    <w:name w:val="footer"/>
    <w:basedOn w:val="Normal"/>
    <w:link w:val="FooterChar"/>
    <w:uiPriority w:val="99"/>
    <w:unhideWhenUsed/>
    <w:rsid w:val="003A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3A9"/>
    <w:rPr>
      <w:lang w:val="nl-NL"/>
    </w:rPr>
  </w:style>
  <w:style w:type="table" w:styleId="TableGrid">
    <w:name w:val="Table Grid"/>
    <w:basedOn w:val="TableNormal"/>
    <w:rsid w:val="003A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621"/>
    <w:pPr>
      <w:ind w:left="720"/>
      <w:contextualSpacing/>
    </w:pPr>
  </w:style>
  <w:style w:type="character" w:styleId="UnresolvedMention">
    <w:name w:val="Unresolved Mention"/>
    <w:basedOn w:val="DefaultParagraphFont"/>
    <w:uiPriority w:val="99"/>
    <w:semiHidden/>
    <w:unhideWhenUsed/>
    <w:rsid w:val="00FB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xdeco.com/collections/designer-furniture" TargetMode="External"/><Relationship Id="rId3" Type="http://schemas.openxmlformats.org/officeDocument/2006/relationships/settings" Target="settings.xml"/><Relationship Id="rId7" Type="http://schemas.openxmlformats.org/officeDocument/2006/relationships/hyperlink" Target="https://www.thermofisher.com/nl/en/home/ord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ams-music.com/en/adams/percussion/adams_philharmonic_light_timp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Burridge</dc:creator>
  <cp:keywords/>
  <dc:description/>
  <cp:lastModifiedBy>Alice Burridge</cp:lastModifiedBy>
  <cp:revision>14</cp:revision>
  <dcterms:created xsi:type="dcterms:W3CDTF">2020-12-12T15:27:00Z</dcterms:created>
  <dcterms:modified xsi:type="dcterms:W3CDTF">2022-10-23T15:11:00Z</dcterms:modified>
</cp:coreProperties>
</file>